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583A03FE" w:rsidR="008A65F0" w:rsidRPr="00C92093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BF7CAE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00206F1D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</w:t>
      </w:r>
      <w:r w:rsidR="007B2DE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</w:t>
      </w:r>
      <w:r w:rsidRPr="00C92093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401BFE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10.</w:t>
      </w:r>
      <w:r w:rsidR="00581707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7B2DE9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ledna</w:t>
      </w:r>
      <w:r w:rsidR="009D4566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7B2DE9" w:rsidRPr="00C92093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2022</w:t>
      </w:r>
    </w:p>
    <w:p w14:paraId="76A8C05F" w14:textId="73A81ECE" w:rsidR="008A65F0" w:rsidRPr="00C92093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5217A2D" w14:textId="7F5AD595" w:rsidR="00DF3AF9" w:rsidRPr="00C92093" w:rsidRDefault="00666D24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bookmarkStart w:id="0" w:name="_GoBack"/>
      <w:bookmarkEnd w:id="0"/>
      <w:r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Nájemní bydlení</w:t>
      </w:r>
      <w:r w:rsidR="007C6D46"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v </w:t>
      </w:r>
      <w:r w:rsidR="005D2254"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 C</w:t>
      </w:r>
      <w:r w:rsidR="007C6D46"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ity má </w:t>
      </w:r>
      <w:r w:rsidR="009406B1"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za sebou další milník: </w:t>
      </w:r>
      <w:r w:rsidR="008756B2"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hotovu hrubou stavbu</w:t>
      </w:r>
      <w:r w:rsidRPr="00C92093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 u prvního apartmánového domu</w:t>
      </w:r>
    </w:p>
    <w:p w14:paraId="5FC0E177" w14:textId="3580D9CF" w:rsidR="0017158B" w:rsidRDefault="009D4566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C92093">
        <w:br/>
      </w:r>
      <w:r w:rsidR="00AB50A0" w:rsidRPr="00C92093">
        <w:rPr>
          <w:rFonts w:ascii="Arial" w:eastAsia="Arial" w:hAnsi="Arial" w:cs="Arial"/>
          <w:b/>
          <w:bCs/>
          <w:sz w:val="22"/>
          <w:szCs w:val="22"/>
        </w:rPr>
        <w:t>S</w:t>
      </w:r>
      <w:r w:rsidR="001E40FD" w:rsidRPr="00C92093">
        <w:rPr>
          <w:rFonts w:ascii="Arial" w:eastAsia="Arial" w:hAnsi="Arial" w:cs="Arial"/>
          <w:b/>
          <w:bCs/>
          <w:sz w:val="22"/>
          <w:szCs w:val="22"/>
        </w:rPr>
        <w:t>p</w:t>
      </w:r>
      <w:r w:rsidR="0090378F" w:rsidRPr="00C92093">
        <w:rPr>
          <w:rFonts w:ascii="Arial" w:eastAsia="Arial" w:hAnsi="Arial" w:cs="Arial"/>
          <w:b/>
          <w:bCs/>
          <w:sz w:val="22"/>
          <w:szCs w:val="22"/>
        </w:rPr>
        <w:t xml:space="preserve">olečnost AFI Europe </w:t>
      </w:r>
      <w:r w:rsidR="00494A67" w:rsidRPr="00C92093">
        <w:rPr>
          <w:rFonts w:ascii="Arial" w:eastAsia="Arial" w:hAnsi="Arial" w:cs="Arial"/>
          <w:b/>
          <w:bCs/>
          <w:sz w:val="22"/>
          <w:szCs w:val="22"/>
        </w:rPr>
        <w:t xml:space="preserve">dokončila </w:t>
      </w:r>
      <w:r w:rsidR="000B3775" w:rsidRPr="00C92093">
        <w:rPr>
          <w:rFonts w:ascii="Arial" w:eastAsia="Arial" w:hAnsi="Arial" w:cs="Arial"/>
          <w:b/>
          <w:bCs/>
          <w:sz w:val="22"/>
          <w:szCs w:val="22"/>
        </w:rPr>
        <w:t>hrubou stavbu</w:t>
      </w:r>
      <w:r w:rsidR="00AB50A0" w:rsidRPr="00C92093">
        <w:rPr>
          <w:rFonts w:ascii="Arial" w:eastAsia="Arial" w:hAnsi="Arial" w:cs="Arial"/>
          <w:b/>
          <w:bCs/>
          <w:sz w:val="22"/>
          <w:szCs w:val="22"/>
        </w:rPr>
        <w:t xml:space="preserve"> apartmánového domu </w:t>
      </w:r>
      <w:r w:rsidR="00D57E97" w:rsidRPr="00C92093">
        <w:rPr>
          <w:rFonts w:ascii="Arial" w:eastAsia="Arial" w:hAnsi="Arial" w:cs="Arial"/>
          <w:b/>
          <w:bCs/>
          <w:sz w:val="22"/>
          <w:szCs w:val="22"/>
        </w:rPr>
        <w:t xml:space="preserve">v nově budované čtvrti AFI City </w:t>
      </w:r>
      <w:r w:rsidR="00AB50A0" w:rsidRPr="00C92093">
        <w:rPr>
          <w:rFonts w:ascii="Arial" w:eastAsia="Arial" w:hAnsi="Arial" w:cs="Arial"/>
          <w:b/>
          <w:bCs/>
          <w:sz w:val="22"/>
          <w:szCs w:val="22"/>
        </w:rPr>
        <w:t xml:space="preserve">v Praze 9 </w:t>
      </w:r>
      <w:r w:rsidR="00D57E97" w:rsidRPr="00C92093">
        <w:rPr>
          <w:rFonts w:ascii="Arial" w:eastAsia="Arial" w:hAnsi="Arial" w:cs="Arial"/>
          <w:b/>
          <w:bCs/>
          <w:sz w:val="22"/>
          <w:szCs w:val="22"/>
        </w:rPr>
        <w:t xml:space="preserve">– Vysočanech. 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>Na městském brownfieldu poblíž stanice metra Kolbenova</w:t>
      </w:r>
      <w:r w:rsidR="00AB50A0" w:rsidRPr="00C92093">
        <w:rPr>
          <w:rFonts w:ascii="Arial" w:eastAsia="Arial" w:hAnsi="Arial" w:cs="Arial"/>
          <w:b/>
          <w:bCs/>
          <w:sz w:val="22"/>
          <w:szCs w:val="22"/>
        </w:rPr>
        <w:t xml:space="preserve"> dohromady 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>vzniká 640 apartmánů určených výhradně pro</w:t>
      </w:r>
      <w:r w:rsidR="000627EB" w:rsidRPr="00C92093">
        <w:rPr>
          <w:rFonts w:ascii="Arial" w:eastAsia="Arial" w:hAnsi="Arial" w:cs="Arial"/>
          <w:b/>
          <w:bCs/>
          <w:sz w:val="22"/>
          <w:szCs w:val="22"/>
        </w:rPr>
        <w:t> 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>nájemní bydlení, a to ve dvou samostatných domech</w:t>
      </w:r>
      <w:r w:rsidR="008A2531" w:rsidRPr="00C92093">
        <w:rPr>
          <w:rFonts w:ascii="Arial" w:eastAsia="Arial" w:hAnsi="Arial" w:cs="Arial"/>
          <w:b/>
          <w:bCs/>
          <w:sz w:val="22"/>
          <w:szCs w:val="22"/>
        </w:rPr>
        <w:t>, jejichž součástí budou také komerční prostory určené pro obchody, služby a provoz restaurace.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>Realizace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 xml:space="preserve"> prvního z nich s 313 jednotkami v dispozicích od </w:t>
      </w:r>
      <w:r w:rsidR="008A2531" w:rsidRPr="00C92093">
        <w:rPr>
          <w:rFonts w:ascii="Arial" w:eastAsia="Arial" w:hAnsi="Arial" w:cs="Arial"/>
          <w:b/>
          <w:bCs/>
          <w:sz w:val="22"/>
          <w:szCs w:val="22"/>
        </w:rPr>
        <w:t>1+kk do 4</w:t>
      </w:r>
      <w:r w:rsidR="0017158B" w:rsidRPr="00C92093">
        <w:rPr>
          <w:rFonts w:ascii="Arial" w:eastAsia="Arial" w:hAnsi="Arial" w:cs="Arial"/>
          <w:b/>
          <w:bCs/>
          <w:sz w:val="22"/>
          <w:szCs w:val="22"/>
        </w:rPr>
        <w:t>+kk</w:t>
      </w:r>
      <w:r w:rsidR="00D210C8" w:rsidRPr="00C92093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 xml:space="preserve">se právě přehoupla </w:t>
      </w:r>
      <w:r w:rsidR="000627EB" w:rsidRPr="00C92093">
        <w:rPr>
          <w:rFonts w:ascii="Arial" w:eastAsia="Arial" w:hAnsi="Arial" w:cs="Arial"/>
          <w:b/>
          <w:bCs/>
          <w:sz w:val="22"/>
          <w:szCs w:val="22"/>
        </w:rPr>
        <w:t>k</w:t>
      </w:r>
      <w:r w:rsidR="008A2531" w:rsidRPr="00C92093">
        <w:rPr>
          <w:rFonts w:ascii="Arial" w:eastAsia="Arial" w:hAnsi="Arial" w:cs="Arial"/>
          <w:b/>
          <w:bCs/>
          <w:sz w:val="22"/>
          <w:szCs w:val="22"/>
        </w:rPr>
        <w:t> 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>dokončovací</w:t>
      </w:r>
      <w:r w:rsidR="000627EB" w:rsidRPr="00C92093">
        <w:rPr>
          <w:rFonts w:ascii="Arial" w:eastAsia="Arial" w:hAnsi="Arial" w:cs="Arial"/>
          <w:b/>
          <w:bCs/>
          <w:sz w:val="22"/>
          <w:szCs w:val="22"/>
        </w:rPr>
        <w:t>m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 xml:space="preserve"> prací</w:t>
      </w:r>
      <w:r w:rsidR="000627EB" w:rsidRPr="00C92093">
        <w:rPr>
          <w:rFonts w:ascii="Arial" w:eastAsia="Arial" w:hAnsi="Arial" w:cs="Arial"/>
          <w:b/>
          <w:bCs/>
          <w:sz w:val="22"/>
          <w:szCs w:val="22"/>
        </w:rPr>
        <w:t>m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 xml:space="preserve"> a </w:t>
      </w:r>
      <w:r w:rsidR="00D210C8" w:rsidRPr="00C92093">
        <w:rPr>
          <w:rFonts w:ascii="Arial" w:eastAsia="Arial" w:hAnsi="Arial" w:cs="Arial"/>
          <w:b/>
          <w:bCs/>
          <w:sz w:val="22"/>
          <w:szCs w:val="22"/>
        </w:rPr>
        <w:t>úspěšně směřuje ke</w:t>
      </w:r>
      <w:r w:rsidR="00D07AAE" w:rsidRPr="00C92093">
        <w:rPr>
          <w:rFonts w:ascii="Arial" w:eastAsia="Arial" w:hAnsi="Arial" w:cs="Arial"/>
          <w:b/>
          <w:bCs/>
          <w:sz w:val="22"/>
          <w:szCs w:val="22"/>
        </w:rPr>
        <w:t xml:space="preserve"> kolaudaci </w:t>
      </w:r>
      <w:r w:rsidR="00D210C8" w:rsidRPr="00C92093">
        <w:rPr>
          <w:rFonts w:ascii="Arial" w:eastAsia="Arial" w:hAnsi="Arial" w:cs="Arial"/>
          <w:b/>
          <w:bCs/>
          <w:sz w:val="22"/>
          <w:szCs w:val="22"/>
        </w:rPr>
        <w:t xml:space="preserve">ve 4. čtvrtletí </w:t>
      </w:r>
      <w:r w:rsidR="007B2DE9" w:rsidRPr="00C92093">
        <w:rPr>
          <w:rFonts w:ascii="Arial" w:eastAsia="Arial" w:hAnsi="Arial" w:cs="Arial"/>
          <w:b/>
          <w:bCs/>
          <w:sz w:val="22"/>
          <w:szCs w:val="22"/>
        </w:rPr>
        <w:t>letošního</w:t>
      </w:r>
      <w:r w:rsidR="00D210C8" w:rsidRPr="00C92093">
        <w:rPr>
          <w:rFonts w:ascii="Arial" w:eastAsia="Arial" w:hAnsi="Arial" w:cs="Arial"/>
          <w:b/>
          <w:bCs/>
          <w:sz w:val="22"/>
          <w:szCs w:val="22"/>
        </w:rPr>
        <w:t xml:space="preserve"> roku.</w:t>
      </w:r>
    </w:p>
    <w:p w14:paraId="78A84A18" w14:textId="77777777" w:rsidR="0017158B" w:rsidRDefault="0017158B" w:rsidP="00DF3AF9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4ACF8FC5" w14:textId="41A1CC0B" w:rsidR="00E51B64" w:rsidRDefault="00E51B64" w:rsidP="00E51B6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Cs/>
          <w:i/>
          <w:sz w:val="22"/>
          <w:szCs w:val="22"/>
        </w:rPr>
        <w:t>„Stavba probíhá podle plánu – dokonce ještě rychleji, než jsme očekávali. Předpokládáme tak, že nové nájemce přiv</w:t>
      </w:r>
      <w:r w:rsidR="00B73FDE">
        <w:rPr>
          <w:rFonts w:ascii="Arial" w:eastAsia="Arial" w:hAnsi="Arial" w:cs="Arial"/>
          <w:bCs/>
          <w:i/>
          <w:sz w:val="22"/>
          <w:szCs w:val="22"/>
        </w:rPr>
        <w:t>ítá první apartmánový dům v AFI</w:t>
      </w:r>
      <w:r>
        <w:rPr>
          <w:rFonts w:ascii="Arial" w:eastAsia="Arial" w:hAnsi="Arial" w:cs="Arial"/>
          <w:bCs/>
          <w:i/>
          <w:sz w:val="22"/>
          <w:szCs w:val="22"/>
        </w:rPr>
        <w:t>HOME Kolbenova již v závěru roku. Lidé se mohou těšit na bydlení za přijatelné ceny a s veškerým komfortem. Údržbu a</w:t>
      </w:r>
      <w:r w:rsidR="001C30E5">
        <w:rPr>
          <w:rFonts w:ascii="Arial" w:eastAsia="Arial" w:hAnsi="Arial" w:cs="Arial"/>
          <w:bCs/>
          <w:i/>
          <w:sz w:val="22"/>
          <w:szCs w:val="22"/>
        </w:rPr>
        <w:t> </w:t>
      </w:r>
      <w:r>
        <w:rPr>
          <w:rFonts w:ascii="Arial" w:eastAsia="Arial" w:hAnsi="Arial" w:cs="Arial"/>
          <w:bCs/>
          <w:i/>
          <w:sz w:val="22"/>
          <w:szCs w:val="22"/>
        </w:rPr>
        <w:t xml:space="preserve">opravy u nás zajistí správce, chybět nebude recepce s nepřetržitou ostrahou, soukromé parkoviště či doplňkové obchody a služby. Část apartmánů bude navíc zařízena nábytkem a spotřebiči na míru, což může i těm nejnáročnějším klientům ušetřit jakékoliv starosti spojené se stěhováním,“ </w:t>
      </w:r>
      <w:r w:rsidRPr="710142C6">
        <w:rPr>
          <w:rFonts w:ascii="Arial" w:eastAsia="Arial" w:hAnsi="Arial" w:cs="Arial"/>
          <w:sz w:val="22"/>
          <w:szCs w:val="22"/>
        </w:rPr>
        <w:t>komentuje Elena Pisotchi, obchodní a</w:t>
      </w:r>
      <w:r>
        <w:rPr>
          <w:rFonts w:ascii="Arial" w:eastAsia="Arial" w:hAnsi="Arial" w:cs="Arial"/>
          <w:sz w:val="22"/>
          <w:szCs w:val="22"/>
        </w:rPr>
        <w:t> </w:t>
      </w:r>
      <w:r w:rsidRPr="710142C6">
        <w:rPr>
          <w:rFonts w:ascii="Arial" w:eastAsia="Arial" w:hAnsi="Arial" w:cs="Arial"/>
          <w:sz w:val="22"/>
          <w:szCs w:val="22"/>
        </w:rPr>
        <w:t>marketingová manažerka AFI Europe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17CB5508" w14:textId="77777777" w:rsidR="00E51B64" w:rsidRDefault="00E51B64" w:rsidP="00E51B64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E89CCED" w14:textId="77777777" w:rsidR="00E51B64" w:rsidRDefault="00E51B64" w:rsidP="00E51B64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Developer klade u všech svých projektů důraz na zakomponování zelených ploch do veřejného prostoru. Tento princip se aktuálně promítá do podoby parkového nádvoří </w:t>
      </w:r>
      <w:r w:rsidRPr="009406B1">
        <w:rPr>
          <w:rFonts w:ascii="Arial" w:eastAsia="Arial" w:hAnsi="Arial" w:cs="Arial"/>
          <w:bCs/>
          <w:sz w:val="22"/>
          <w:szCs w:val="22"/>
        </w:rPr>
        <w:t>v</w:t>
      </w:r>
      <w:r>
        <w:rPr>
          <w:rFonts w:ascii="Arial" w:eastAsia="Arial" w:hAnsi="Arial" w:cs="Arial"/>
          <w:bCs/>
          <w:sz w:val="22"/>
          <w:szCs w:val="22"/>
        </w:rPr>
        <w:t> </w:t>
      </w:r>
      <w:r w:rsidRPr="009406B1">
        <w:rPr>
          <w:rFonts w:ascii="Arial" w:eastAsia="Arial" w:hAnsi="Arial" w:cs="Arial"/>
          <w:bCs/>
          <w:sz w:val="22"/>
          <w:szCs w:val="22"/>
        </w:rPr>
        <w:t>částečně otevřeném vnitrobloku</w:t>
      </w:r>
      <w:r>
        <w:rPr>
          <w:rFonts w:ascii="Arial" w:eastAsia="Arial" w:hAnsi="Arial" w:cs="Arial"/>
          <w:bCs/>
          <w:sz w:val="22"/>
          <w:szCs w:val="22"/>
        </w:rPr>
        <w:t xml:space="preserve"> (apartmánový dům svým tvarem připomíná písmeno „U“), na který pozvolna naváže již dokončený rozsáhlý park. Většina jednotek, které disponují </w:t>
      </w:r>
      <w:r w:rsidRPr="003875E7">
        <w:rPr>
          <w:rFonts w:ascii="Arial" w:eastAsia="Arial" w:hAnsi="Arial" w:cs="Arial"/>
          <w:bCs/>
          <w:sz w:val="22"/>
          <w:szCs w:val="22"/>
        </w:rPr>
        <w:t>vlastním balko</w:t>
      </w:r>
      <w:r>
        <w:rPr>
          <w:rFonts w:ascii="Arial" w:eastAsia="Arial" w:hAnsi="Arial" w:cs="Arial"/>
          <w:bCs/>
          <w:sz w:val="22"/>
          <w:szCs w:val="22"/>
        </w:rPr>
        <w:t>nem, lodžií anebo předzahrádkou, tak bude mít výhled do zeleně.</w:t>
      </w:r>
    </w:p>
    <w:p w14:paraId="3D73F29E" w14:textId="77777777" w:rsidR="0001076D" w:rsidRDefault="0001076D" w:rsidP="0001076D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57CCB227" w14:textId="217670D5" w:rsidR="0001076D" w:rsidRDefault="00494B12" w:rsidP="0001076D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Nově </w:t>
      </w:r>
      <w:r w:rsidR="00F57823">
        <w:rPr>
          <w:rFonts w:ascii="Arial" w:eastAsia="Arial" w:hAnsi="Arial" w:cs="Arial"/>
          <w:bCs/>
          <w:sz w:val="22"/>
          <w:szCs w:val="22"/>
        </w:rPr>
        <w:t>vznikající</w:t>
      </w:r>
      <w:r>
        <w:rPr>
          <w:rFonts w:ascii="Arial" w:eastAsia="Arial" w:hAnsi="Arial" w:cs="Arial"/>
          <w:bCs/>
          <w:sz w:val="22"/>
          <w:szCs w:val="22"/>
        </w:rPr>
        <w:t xml:space="preserve"> čtvrť AFI City </w:t>
      </w:r>
      <w:r w:rsidR="00A44BF8">
        <w:rPr>
          <w:rFonts w:ascii="Arial" w:eastAsia="Arial" w:hAnsi="Arial" w:cs="Arial"/>
          <w:bCs/>
          <w:sz w:val="22"/>
          <w:szCs w:val="22"/>
        </w:rPr>
        <w:t>leží</w:t>
      </w:r>
      <w:r w:rsidRPr="00494B12">
        <w:rPr>
          <w:rFonts w:ascii="Arial" w:eastAsia="Arial" w:hAnsi="Arial" w:cs="Arial"/>
          <w:bCs/>
          <w:sz w:val="22"/>
          <w:szCs w:val="22"/>
        </w:rPr>
        <w:t xml:space="preserve"> na území bývalého průmyslového areálu ČKD Slévárny</w:t>
      </w:r>
      <w:r w:rsidR="00927541">
        <w:rPr>
          <w:rFonts w:ascii="Arial" w:eastAsia="Arial" w:hAnsi="Arial" w:cs="Arial"/>
          <w:bCs/>
          <w:sz w:val="22"/>
          <w:szCs w:val="22"/>
        </w:rPr>
        <w:t xml:space="preserve"> a</w:t>
      </w:r>
      <w:r w:rsidR="000627EB">
        <w:rPr>
          <w:rFonts w:ascii="Arial" w:eastAsia="Arial" w:hAnsi="Arial" w:cs="Arial"/>
          <w:bCs/>
          <w:sz w:val="22"/>
          <w:szCs w:val="22"/>
        </w:rPr>
        <w:t> </w:t>
      </w:r>
      <w:r w:rsidR="00927541">
        <w:rPr>
          <w:rFonts w:ascii="Arial" w:eastAsia="Arial" w:hAnsi="Arial" w:cs="Arial"/>
          <w:bCs/>
          <w:sz w:val="22"/>
          <w:szCs w:val="22"/>
        </w:rPr>
        <w:t xml:space="preserve">Moury. </w:t>
      </w:r>
      <w:r w:rsidR="0001076D">
        <w:rPr>
          <w:rFonts w:ascii="Arial" w:eastAsia="Arial" w:hAnsi="Arial" w:cs="Arial"/>
          <w:bCs/>
          <w:sz w:val="22"/>
          <w:szCs w:val="22"/>
        </w:rPr>
        <w:t xml:space="preserve">Lokalita </w:t>
      </w:r>
      <w:r>
        <w:rPr>
          <w:rFonts w:ascii="Arial" w:eastAsia="Arial" w:hAnsi="Arial" w:cs="Arial"/>
          <w:bCs/>
          <w:sz w:val="22"/>
          <w:szCs w:val="22"/>
        </w:rPr>
        <w:t>se může pochlub</w:t>
      </w:r>
      <w:r w:rsidR="00927541">
        <w:rPr>
          <w:rFonts w:ascii="Arial" w:eastAsia="Arial" w:hAnsi="Arial" w:cs="Arial"/>
          <w:bCs/>
          <w:sz w:val="22"/>
          <w:szCs w:val="22"/>
        </w:rPr>
        <w:t>it výbornou dopravní dostupností</w:t>
      </w:r>
      <w:r>
        <w:rPr>
          <w:rFonts w:ascii="Arial" w:eastAsia="Arial" w:hAnsi="Arial" w:cs="Arial"/>
          <w:bCs/>
          <w:sz w:val="22"/>
          <w:szCs w:val="22"/>
        </w:rPr>
        <w:t xml:space="preserve"> s </w:t>
      </w:r>
      <w:r w:rsidR="0001076D">
        <w:rPr>
          <w:rFonts w:ascii="Arial" w:eastAsia="Arial" w:hAnsi="Arial" w:cs="Arial"/>
          <w:bCs/>
          <w:sz w:val="22"/>
          <w:szCs w:val="22"/>
        </w:rPr>
        <w:t>dojezdovou</w:t>
      </w:r>
      <w:r w:rsidR="00A44BF8">
        <w:rPr>
          <w:rFonts w:ascii="Arial" w:eastAsia="Arial" w:hAnsi="Arial" w:cs="Arial"/>
          <w:bCs/>
          <w:sz w:val="22"/>
          <w:szCs w:val="22"/>
        </w:rPr>
        <w:t xml:space="preserve"> vzdálenost</w:t>
      </w:r>
      <w:r w:rsidR="0001076D">
        <w:rPr>
          <w:rFonts w:ascii="Arial" w:eastAsia="Arial" w:hAnsi="Arial" w:cs="Arial"/>
          <w:bCs/>
          <w:sz w:val="22"/>
          <w:szCs w:val="22"/>
        </w:rPr>
        <w:t>í</w:t>
      </w:r>
      <w:r w:rsidR="00A44BF8">
        <w:rPr>
          <w:rFonts w:ascii="Arial" w:eastAsia="Arial" w:hAnsi="Arial" w:cs="Arial"/>
          <w:bCs/>
          <w:sz w:val="22"/>
          <w:szCs w:val="22"/>
        </w:rPr>
        <w:t xml:space="preserve"> do centra </w:t>
      </w:r>
      <w:r w:rsidR="000627EB">
        <w:rPr>
          <w:rFonts w:ascii="Arial" w:eastAsia="Arial" w:hAnsi="Arial" w:cs="Arial"/>
          <w:bCs/>
          <w:sz w:val="22"/>
          <w:szCs w:val="22"/>
        </w:rPr>
        <w:t>kratší</w:t>
      </w:r>
      <w:r w:rsidR="00F3774A">
        <w:rPr>
          <w:rFonts w:ascii="Arial" w:eastAsia="Arial" w:hAnsi="Arial" w:cs="Arial"/>
          <w:bCs/>
          <w:sz w:val="22"/>
          <w:szCs w:val="22"/>
        </w:rPr>
        <w:t xml:space="preserve"> než 15 minut</w:t>
      </w:r>
      <w:r w:rsidR="0001076D">
        <w:rPr>
          <w:rFonts w:ascii="Arial" w:eastAsia="Arial" w:hAnsi="Arial" w:cs="Arial"/>
          <w:bCs/>
          <w:sz w:val="22"/>
          <w:szCs w:val="22"/>
        </w:rPr>
        <w:t xml:space="preserve">, a to jak prostředky MHD, tak automobilem </w:t>
      </w:r>
      <w:r w:rsidR="009E4B4F">
        <w:rPr>
          <w:rFonts w:ascii="Arial" w:eastAsia="Arial" w:hAnsi="Arial" w:cs="Arial"/>
          <w:bCs/>
          <w:sz w:val="22"/>
          <w:szCs w:val="22"/>
        </w:rPr>
        <w:t xml:space="preserve">díky </w:t>
      </w:r>
      <w:r w:rsidR="0001076D">
        <w:rPr>
          <w:rFonts w:ascii="Arial" w:eastAsia="Arial" w:hAnsi="Arial" w:cs="Arial"/>
          <w:bCs/>
          <w:sz w:val="22"/>
          <w:szCs w:val="22"/>
        </w:rPr>
        <w:t>napojení na</w:t>
      </w:r>
      <w:r w:rsidR="009E4B4F">
        <w:rPr>
          <w:rFonts w:ascii="Arial" w:eastAsia="Arial" w:hAnsi="Arial" w:cs="Arial"/>
          <w:bCs/>
          <w:sz w:val="22"/>
          <w:szCs w:val="22"/>
        </w:rPr>
        <w:t> </w:t>
      </w:r>
      <w:r w:rsidR="0001076D">
        <w:rPr>
          <w:rFonts w:ascii="Arial" w:eastAsia="Arial" w:hAnsi="Arial" w:cs="Arial"/>
          <w:bCs/>
          <w:sz w:val="22"/>
          <w:szCs w:val="22"/>
        </w:rPr>
        <w:t>Pražský okruh</w:t>
      </w:r>
      <w:r w:rsidR="00F3774A">
        <w:rPr>
          <w:rFonts w:ascii="Arial" w:eastAsia="Arial" w:hAnsi="Arial" w:cs="Arial"/>
          <w:bCs/>
          <w:sz w:val="22"/>
          <w:szCs w:val="22"/>
        </w:rPr>
        <w:t xml:space="preserve">. </w:t>
      </w:r>
    </w:p>
    <w:p w14:paraId="0A3E0D9B" w14:textId="77777777" w:rsidR="000627EB" w:rsidRPr="0001076D" w:rsidRDefault="000627EB" w:rsidP="0001076D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10740DDC" w14:textId="4005CFE7" w:rsidR="0001076D" w:rsidRPr="00E51B64" w:rsidRDefault="0031504F" w:rsidP="0001076D">
      <w:pPr>
        <w:pStyle w:val="Prosttext"/>
        <w:pBdr>
          <w:bottom w:val="single" w:sz="4" w:space="1" w:color="00000A"/>
        </w:pBdr>
        <w:jc w:val="center"/>
        <w:rPr>
          <w:rFonts w:ascii="Arial" w:hAnsi="Arial" w:cs="Arial"/>
          <w:sz w:val="22"/>
          <w:szCs w:val="22"/>
        </w:rPr>
      </w:pPr>
      <w:hyperlink r:id="rId7" w:history="1">
        <w:r w:rsidR="00E51B64" w:rsidRPr="00E51B64">
          <w:rPr>
            <w:rStyle w:val="Hypertextovodkaz"/>
            <w:rFonts w:ascii="Arial" w:hAnsi="Arial" w:cs="Arial"/>
            <w:sz w:val="22"/>
            <w:szCs w:val="22"/>
          </w:rPr>
          <w:t>www.AFIHOME.cz</w:t>
        </w:r>
      </w:hyperlink>
    </w:p>
    <w:p w14:paraId="0BD8401F" w14:textId="77777777" w:rsidR="00E51B64" w:rsidRPr="0001076D" w:rsidRDefault="00E51B64" w:rsidP="0001076D">
      <w:pPr>
        <w:pStyle w:val="Prosttext"/>
        <w:pBdr>
          <w:bottom w:val="single" w:sz="4" w:space="1" w:color="00000A"/>
        </w:pBdr>
        <w:jc w:val="center"/>
        <w:rPr>
          <w:rFonts w:ascii="Arial" w:hAnsi="Arial" w:cs="Arial"/>
          <w:b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3F60FE73" w14:textId="25EFF4DC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>je předním investorem a developerem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oblasti komerčních a bytových nemovitostí.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procesu výstavby je rozsáhlé portfolio nájemních bytů, které vyrostou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projektech Tulipa Karlín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Praze 8, Tulipa Třebešín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Praze 3 a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multifunkčním areálu AFI City na městském brownfieldu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Praze 9 u stanice metra Kolbenova.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</w:t>
      </w:r>
      <w:r w:rsidR="0001076D">
        <w:rPr>
          <w:rFonts w:ascii="Calibri" w:hAnsi="Calibri" w:cs="Helvetica"/>
          <w:i/>
          <w:sz w:val="22"/>
          <w:szCs w:val="22"/>
        </w:rPr>
        <w:t> </w:t>
      </w:r>
      <w:r w:rsidRPr="003A1374">
        <w:rPr>
          <w:rFonts w:ascii="Calibri" w:hAnsi="Calibri" w:cs="Helvetica"/>
          <w:i/>
          <w:sz w:val="22"/>
          <w:szCs w:val="22"/>
        </w:rPr>
        <w:t>Nových Butovicích.</w:t>
      </w:r>
    </w:p>
    <w:p w14:paraId="60479DE1" w14:textId="070E4870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</w:r>
      <w:r>
        <w:rPr>
          <w:rFonts w:ascii="Calibri" w:hAnsi="Calibri" w:cs="Helvetica"/>
          <w:b/>
          <w:sz w:val="22"/>
          <w:szCs w:val="22"/>
        </w:rPr>
        <w:lastRenderedPageBreak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2E7A46E1" w:rsidR="008A65F0" w:rsidRDefault="0031504F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hyperlink r:id="rId8" w:history="1">
        <w:r w:rsidR="0001076D" w:rsidRPr="00750C1B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hyperlink r:id="rId9" w:history="1">
        <w:r w:rsidR="00655FD9">
          <w:rPr>
            <w:rFonts w:ascii="Calibri" w:hAnsi="Calibri"/>
            <w:sz w:val="22"/>
            <w:szCs w:val="22"/>
          </w:rPr>
          <w:t>kamila.cadkova@crestcom.cz</w:t>
        </w:r>
      </w:hyperlink>
    </w:p>
    <w:p w14:paraId="16FE0D8E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mobil: 731 613 606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mobil: 731 613 609</w:t>
      </w:r>
    </w:p>
    <w:p w14:paraId="2B5AD00D" w14:textId="77777777" w:rsidR="008A65F0" w:rsidRDefault="008A65F0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55EC3B2E" w14:textId="77777777" w:rsidR="008A65F0" w:rsidRDefault="008A65F0">
      <w:pPr>
        <w:pStyle w:val="Standard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2A73B99" w14:textId="77777777" w:rsidR="008A65F0" w:rsidRDefault="008A65F0">
      <w:pPr>
        <w:pStyle w:val="Standard"/>
        <w:spacing w:line="276" w:lineRule="auto"/>
        <w:jc w:val="both"/>
      </w:pPr>
    </w:p>
    <w:p w14:paraId="44A643AF" w14:textId="77777777" w:rsidR="008A65F0" w:rsidRDefault="008A65F0">
      <w:pPr>
        <w:pStyle w:val="Standard"/>
      </w:pP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DDDBA" w14:textId="77777777" w:rsidR="0031504F" w:rsidRDefault="0031504F">
      <w:pPr>
        <w:spacing w:after="0" w:line="240" w:lineRule="auto"/>
      </w:pPr>
      <w:r>
        <w:separator/>
      </w:r>
    </w:p>
  </w:endnote>
  <w:endnote w:type="continuationSeparator" w:id="0">
    <w:p w14:paraId="3651D0CD" w14:textId="77777777" w:rsidR="0031504F" w:rsidRDefault="0031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00CBB" w14:textId="77777777" w:rsidR="0031504F" w:rsidRDefault="0031504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D43C62" w14:textId="77777777" w:rsidR="0031504F" w:rsidRDefault="00315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1076D"/>
    <w:rsid w:val="0001337F"/>
    <w:rsid w:val="00033A97"/>
    <w:rsid w:val="00052013"/>
    <w:rsid w:val="0006055F"/>
    <w:rsid w:val="000627EB"/>
    <w:rsid w:val="00093B8B"/>
    <w:rsid w:val="00095F5C"/>
    <w:rsid w:val="0009644B"/>
    <w:rsid w:val="000B36F7"/>
    <w:rsid w:val="000B3775"/>
    <w:rsid w:val="000C25F1"/>
    <w:rsid w:val="000C40B4"/>
    <w:rsid w:val="000D7ABC"/>
    <w:rsid w:val="0014512D"/>
    <w:rsid w:val="00146B51"/>
    <w:rsid w:val="001646D2"/>
    <w:rsid w:val="0017158B"/>
    <w:rsid w:val="00191DA2"/>
    <w:rsid w:val="001B39F9"/>
    <w:rsid w:val="001C30E5"/>
    <w:rsid w:val="001E2B88"/>
    <w:rsid w:val="001E40FD"/>
    <w:rsid w:val="001E5808"/>
    <w:rsid w:val="00206F1D"/>
    <w:rsid w:val="00250BA1"/>
    <w:rsid w:val="0026308A"/>
    <w:rsid w:val="002643D1"/>
    <w:rsid w:val="002654CD"/>
    <w:rsid w:val="002712D2"/>
    <w:rsid w:val="002A6251"/>
    <w:rsid w:val="002A6C51"/>
    <w:rsid w:val="002C7457"/>
    <w:rsid w:val="002D6F26"/>
    <w:rsid w:val="002F2340"/>
    <w:rsid w:val="00311976"/>
    <w:rsid w:val="0031381A"/>
    <w:rsid w:val="0031504F"/>
    <w:rsid w:val="00345C77"/>
    <w:rsid w:val="00350CA2"/>
    <w:rsid w:val="0036110E"/>
    <w:rsid w:val="003875E7"/>
    <w:rsid w:val="00390285"/>
    <w:rsid w:val="003A1374"/>
    <w:rsid w:val="003B23E5"/>
    <w:rsid w:val="003D5A5A"/>
    <w:rsid w:val="00401BFE"/>
    <w:rsid w:val="00414010"/>
    <w:rsid w:val="00416FC4"/>
    <w:rsid w:val="004254EE"/>
    <w:rsid w:val="004316EF"/>
    <w:rsid w:val="004532A1"/>
    <w:rsid w:val="00462B87"/>
    <w:rsid w:val="00463BEC"/>
    <w:rsid w:val="00475C59"/>
    <w:rsid w:val="00482D9A"/>
    <w:rsid w:val="00494A67"/>
    <w:rsid w:val="00494B12"/>
    <w:rsid w:val="004A7411"/>
    <w:rsid w:val="004D1ACB"/>
    <w:rsid w:val="004E7F7D"/>
    <w:rsid w:val="00515879"/>
    <w:rsid w:val="00522606"/>
    <w:rsid w:val="00530136"/>
    <w:rsid w:val="005311FA"/>
    <w:rsid w:val="005360FC"/>
    <w:rsid w:val="005528A3"/>
    <w:rsid w:val="005559F1"/>
    <w:rsid w:val="0055772D"/>
    <w:rsid w:val="00561CB9"/>
    <w:rsid w:val="00564BD5"/>
    <w:rsid w:val="005724D7"/>
    <w:rsid w:val="00581707"/>
    <w:rsid w:val="005A390D"/>
    <w:rsid w:val="005B4955"/>
    <w:rsid w:val="005C0D08"/>
    <w:rsid w:val="005D2254"/>
    <w:rsid w:val="005D6B95"/>
    <w:rsid w:val="005E0550"/>
    <w:rsid w:val="005E6108"/>
    <w:rsid w:val="006040C3"/>
    <w:rsid w:val="006105B2"/>
    <w:rsid w:val="006112F3"/>
    <w:rsid w:val="00635CF2"/>
    <w:rsid w:val="00655FD9"/>
    <w:rsid w:val="00664D59"/>
    <w:rsid w:val="00666D24"/>
    <w:rsid w:val="00671FFB"/>
    <w:rsid w:val="006A3083"/>
    <w:rsid w:val="006A7A7C"/>
    <w:rsid w:val="006B4F8F"/>
    <w:rsid w:val="006C1601"/>
    <w:rsid w:val="006E255B"/>
    <w:rsid w:val="00702EB3"/>
    <w:rsid w:val="007252BE"/>
    <w:rsid w:val="00734BF5"/>
    <w:rsid w:val="007372AE"/>
    <w:rsid w:val="00763A45"/>
    <w:rsid w:val="00792CD9"/>
    <w:rsid w:val="00797283"/>
    <w:rsid w:val="007B2DE9"/>
    <w:rsid w:val="007C6D46"/>
    <w:rsid w:val="007C6ECB"/>
    <w:rsid w:val="007D1137"/>
    <w:rsid w:val="007F0810"/>
    <w:rsid w:val="007F152D"/>
    <w:rsid w:val="008072FB"/>
    <w:rsid w:val="008214C3"/>
    <w:rsid w:val="00831581"/>
    <w:rsid w:val="008366BD"/>
    <w:rsid w:val="0085104E"/>
    <w:rsid w:val="00855CAF"/>
    <w:rsid w:val="00870C4E"/>
    <w:rsid w:val="00873EA6"/>
    <w:rsid w:val="008756B2"/>
    <w:rsid w:val="008A2531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8E536F"/>
    <w:rsid w:val="0090378F"/>
    <w:rsid w:val="009114FC"/>
    <w:rsid w:val="009214A7"/>
    <w:rsid w:val="00927541"/>
    <w:rsid w:val="009406B1"/>
    <w:rsid w:val="009525DB"/>
    <w:rsid w:val="009D4566"/>
    <w:rsid w:val="009E4B4F"/>
    <w:rsid w:val="00A16B12"/>
    <w:rsid w:val="00A24554"/>
    <w:rsid w:val="00A44BF8"/>
    <w:rsid w:val="00A63CC3"/>
    <w:rsid w:val="00A650F8"/>
    <w:rsid w:val="00A92918"/>
    <w:rsid w:val="00A97933"/>
    <w:rsid w:val="00AA7C70"/>
    <w:rsid w:val="00AB189C"/>
    <w:rsid w:val="00AB50A0"/>
    <w:rsid w:val="00AE121E"/>
    <w:rsid w:val="00AE4227"/>
    <w:rsid w:val="00AE44A7"/>
    <w:rsid w:val="00AE5A57"/>
    <w:rsid w:val="00B07F07"/>
    <w:rsid w:val="00B11907"/>
    <w:rsid w:val="00B15118"/>
    <w:rsid w:val="00B73FDE"/>
    <w:rsid w:val="00B816B1"/>
    <w:rsid w:val="00B92462"/>
    <w:rsid w:val="00BD2F34"/>
    <w:rsid w:val="00BE2DA5"/>
    <w:rsid w:val="00BE462C"/>
    <w:rsid w:val="00BE5BC3"/>
    <w:rsid w:val="00BF7CAE"/>
    <w:rsid w:val="00C1637D"/>
    <w:rsid w:val="00C308B6"/>
    <w:rsid w:val="00C322B5"/>
    <w:rsid w:val="00C34B1C"/>
    <w:rsid w:val="00C3663F"/>
    <w:rsid w:val="00C92093"/>
    <w:rsid w:val="00CD7ADD"/>
    <w:rsid w:val="00CF650D"/>
    <w:rsid w:val="00D07AAE"/>
    <w:rsid w:val="00D12EE6"/>
    <w:rsid w:val="00D210C8"/>
    <w:rsid w:val="00D3130D"/>
    <w:rsid w:val="00D32C19"/>
    <w:rsid w:val="00D34983"/>
    <w:rsid w:val="00D3697E"/>
    <w:rsid w:val="00D51F81"/>
    <w:rsid w:val="00D57E97"/>
    <w:rsid w:val="00D63C51"/>
    <w:rsid w:val="00DC5EBE"/>
    <w:rsid w:val="00DE5BC5"/>
    <w:rsid w:val="00DF3AF9"/>
    <w:rsid w:val="00E10791"/>
    <w:rsid w:val="00E20F3A"/>
    <w:rsid w:val="00E24188"/>
    <w:rsid w:val="00E26CB8"/>
    <w:rsid w:val="00E51B64"/>
    <w:rsid w:val="00E56AD0"/>
    <w:rsid w:val="00E7095C"/>
    <w:rsid w:val="00E76D0A"/>
    <w:rsid w:val="00E83A63"/>
    <w:rsid w:val="00E876F4"/>
    <w:rsid w:val="00E97562"/>
    <w:rsid w:val="00EA2E5D"/>
    <w:rsid w:val="00ED06AD"/>
    <w:rsid w:val="00ED1B4C"/>
    <w:rsid w:val="00ED6555"/>
    <w:rsid w:val="00EE01C1"/>
    <w:rsid w:val="00EF114C"/>
    <w:rsid w:val="00EF7E87"/>
    <w:rsid w:val="00F3774A"/>
    <w:rsid w:val="00F42CF0"/>
    <w:rsid w:val="00F43C8D"/>
    <w:rsid w:val="00F44B1C"/>
    <w:rsid w:val="00F46442"/>
    <w:rsid w:val="00F55F0E"/>
    <w:rsid w:val="00F57823"/>
    <w:rsid w:val="00F602CB"/>
    <w:rsid w:val="00F8415F"/>
    <w:rsid w:val="00FB20C6"/>
    <w:rsid w:val="00FD24CA"/>
    <w:rsid w:val="00FD43B9"/>
    <w:rsid w:val="00FE0732"/>
    <w:rsid w:val="01A333A2"/>
    <w:rsid w:val="083D619F"/>
    <w:rsid w:val="0B27A7E4"/>
    <w:rsid w:val="0C5A0C3B"/>
    <w:rsid w:val="0CB87213"/>
    <w:rsid w:val="1106C0B3"/>
    <w:rsid w:val="11C788D9"/>
    <w:rsid w:val="171A3273"/>
    <w:rsid w:val="189A91AC"/>
    <w:rsid w:val="1CE5E6A1"/>
    <w:rsid w:val="1D0DF972"/>
    <w:rsid w:val="1EC9B84F"/>
    <w:rsid w:val="1F277F64"/>
    <w:rsid w:val="1FC0BA96"/>
    <w:rsid w:val="207EA728"/>
    <w:rsid w:val="213C7B87"/>
    <w:rsid w:val="24CCEF93"/>
    <w:rsid w:val="26671595"/>
    <w:rsid w:val="2A1E5981"/>
    <w:rsid w:val="2CEB5549"/>
    <w:rsid w:val="2DB4BDE8"/>
    <w:rsid w:val="31BA9DD3"/>
    <w:rsid w:val="331E843E"/>
    <w:rsid w:val="3385C1E4"/>
    <w:rsid w:val="3549E849"/>
    <w:rsid w:val="36ECC727"/>
    <w:rsid w:val="3A242EC7"/>
    <w:rsid w:val="3D0D03F8"/>
    <w:rsid w:val="3EE3EBD5"/>
    <w:rsid w:val="3F20A784"/>
    <w:rsid w:val="42BC5D82"/>
    <w:rsid w:val="454EBF1D"/>
    <w:rsid w:val="45FB562A"/>
    <w:rsid w:val="48F7D52F"/>
    <w:rsid w:val="4B1298F4"/>
    <w:rsid w:val="4B2207D0"/>
    <w:rsid w:val="4D223862"/>
    <w:rsid w:val="4D60FD85"/>
    <w:rsid w:val="520F5254"/>
    <w:rsid w:val="557F89BA"/>
    <w:rsid w:val="5712C7A7"/>
    <w:rsid w:val="5805C7ED"/>
    <w:rsid w:val="590A63F9"/>
    <w:rsid w:val="59475B95"/>
    <w:rsid w:val="5B25AE6A"/>
    <w:rsid w:val="5B39CAE1"/>
    <w:rsid w:val="5E07F11C"/>
    <w:rsid w:val="616FDFED"/>
    <w:rsid w:val="635D2A38"/>
    <w:rsid w:val="63D04B29"/>
    <w:rsid w:val="680BE18B"/>
    <w:rsid w:val="6A0C0DED"/>
    <w:rsid w:val="6ABFF7DB"/>
    <w:rsid w:val="6BCCAA1C"/>
    <w:rsid w:val="6CA10327"/>
    <w:rsid w:val="6D158D11"/>
    <w:rsid w:val="6E300233"/>
    <w:rsid w:val="6F61131E"/>
    <w:rsid w:val="6FC8643D"/>
    <w:rsid w:val="709B0519"/>
    <w:rsid w:val="710142C6"/>
    <w:rsid w:val="71FB751B"/>
    <w:rsid w:val="72A24F11"/>
    <w:rsid w:val="73479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IHOM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23</cp:revision>
  <dcterms:created xsi:type="dcterms:W3CDTF">2021-12-13T15:22:00Z</dcterms:created>
  <dcterms:modified xsi:type="dcterms:W3CDTF">2022-01-10T14:41:00Z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